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5F9" w:rsidRPr="007A20CE" w:rsidRDefault="006275F9" w:rsidP="006275F9">
      <w:pPr>
        <w:spacing w:after="150" w:line="240" w:lineRule="auto"/>
        <w:ind w:left="0" w:firstLine="0"/>
        <w:jc w:val="center"/>
        <w:outlineLvl w:val="0"/>
        <w:rPr>
          <w:rFonts w:ascii="inherit" w:eastAsia="Times New Roman" w:hAnsi="inherit" w:cs="Times New Roman"/>
          <w:kern w:val="36"/>
          <w:sz w:val="28"/>
          <w:szCs w:val="28"/>
          <w:lang w:eastAsia="fr-BE"/>
        </w:rPr>
      </w:pPr>
      <w:r w:rsidRPr="007A20CE">
        <w:rPr>
          <w:rFonts w:ascii="inherit" w:eastAsia="Times New Roman" w:hAnsi="inherit" w:cs="Times New Roman"/>
          <w:kern w:val="36"/>
          <w:sz w:val="28"/>
          <w:szCs w:val="28"/>
          <w:lang w:eastAsia="fr-BE"/>
        </w:rPr>
        <w:t>P2</w:t>
      </w:r>
    </w:p>
    <w:p w:rsidR="006275F9" w:rsidRPr="007A20CE" w:rsidRDefault="006275F9" w:rsidP="006275F9">
      <w:pPr>
        <w:spacing w:after="150" w:line="240" w:lineRule="auto"/>
        <w:ind w:left="0" w:firstLine="0"/>
        <w:jc w:val="center"/>
        <w:outlineLvl w:val="0"/>
        <w:rPr>
          <w:rFonts w:ascii="inherit" w:eastAsia="Times New Roman" w:hAnsi="inherit" w:cs="Times New Roman"/>
          <w:kern w:val="36"/>
          <w:sz w:val="28"/>
          <w:szCs w:val="28"/>
          <w:lang w:eastAsia="fr-BE"/>
        </w:rPr>
      </w:pPr>
      <w:r w:rsidRPr="007A20CE">
        <w:rPr>
          <w:rFonts w:ascii="inherit" w:eastAsia="Times New Roman" w:hAnsi="inherit" w:cs="Times New Roman"/>
          <w:kern w:val="36"/>
          <w:sz w:val="28"/>
          <w:szCs w:val="28"/>
          <w:lang w:eastAsia="fr-BE"/>
        </w:rPr>
        <w:t>Formulaires de programmes expliqués</w:t>
      </w:r>
    </w:p>
    <w:p w:rsidR="006275F9" w:rsidRPr="00B36A81" w:rsidRDefault="006275F9" w:rsidP="006275F9">
      <w:pPr>
        <w:spacing w:before="300" w:line="240" w:lineRule="auto"/>
        <w:ind w:left="0" w:firstLine="0"/>
        <w:outlineLvl w:val="1"/>
        <w:rPr>
          <w:rFonts w:ascii="inherit" w:eastAsia="Times New Roman" w:hAnsi="inherit" w:cs="Times New Roman"/>
          <w:sz w:val="28"/>
          <w:szCs w:val="28"/>
          <w:lang w:eastAsia="fr-BE"/>
        </w:rPr>
      </w:pPr>
      <w:r w:rsidRPr="00B36A81">
        <w:rPr>
          <w:rFonts w:ascii="inherit" w:eastAsia="Times New Roman" w:hAnsi="inherit" w:cs="Times New Roman"/>
          <w:sz w:val="28"/>
          <w:szCs w:val="28"/>
          <w:lang w:eastAsia="fr-BE"/>
        </w:rPr>
        <w:t>Former des sous-routines</w:t>
      </w:r>
    </w:p>
    <w:p w:rsidR="006275F9" w:rsidRPr="006C7F24" w:rsidRDefault="006275F9" w:rsidP="006275F9">
      <w:pPr>
        <w:spacing w:after="15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Après la section d'initialisation vient la section de mise en forme. Il existe quatre types généraux de sous-programmes de mise en forme qui peuvent être inclus pour construire la pièce de tissu: Border, Band, Symmetric et Asymmetric. Ces sous-programmes sont les éléments de base de la forme que vous tricotez. Certains de ces sous-programmes permettent des variations pour inclure un décolleté et / ou un message flash / référence. Certains peuvent apparaître plus d'une fois et certains peuvent être omis selon la façon dont la forme doit être construite.</w:t>
      </w:r>
    </w:p>
    <w:p w:rsidR="006275F9" w:rsidRPr="006C7F24" w:rsidRDefault="006275F9" w:rsidP="006275F9">
      <w:pPr>
        <w:spacing w:after="15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Le premier code d'un sous-programme de mise en forme identifie le type de sous-programme de mise en forme et le nombre d'instructions de mise en forme constituant le sous-programme. Le tableau suivant identifie la valeur de base pour chaque type de sous-programme de mise en forme. Pour déterminer le nombre d'instructions incluses dans le sous-programme, soustrayez la valeur de base du premier code de la routine de mise en forme. C'est le nombre de codes supplémentaires qui font partie d'un sous-programme de mise en forme.</w:t>
      </w:r>
    </w:p>
    <w:tbl>
      <w:tblPr>
        <w:tblW w:w="1315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726"/>
        <w:gridCol w:w="9429"/>
      </w:tblGrid>
      <w:tr w:rsidR="006275F9" w:rsidRPr="006C7F24"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b/>
                <w:bCs/>
                <w:sz w:val="18"/>
                <w:szCs w:val="18"/>
                <w:lang w:eastAsia="fr-BE"/>
              </w:rPr>
            </w:pPr>
            <w:r w:rsidRPr="006C7F24">
              <w:rPr>
                <w:rFonts w:ascii="Times New Roman" w:eastAsia="Times New Roman" w:hAnsi="Times New Roman" w:cs="Times New Roman"/>
                <w:b/>
                <w:bCs/>
                <w:sz w:val="18"/>
                <w:szCs w:val="18"/>
                <w:lang w:eastAsia="fr-BE"/>
              </w:rPr>
              <w:t>Valeur de base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b/>
                <w:bCs/>
                <w:sz w:val="18"/>
                <w:szCs w:val="18"/>
                <w:lang w:eastAsia="fr-BE"/>
              </w:rPr>
            </w:pPr>
            <w:r w:rsidRPr="006C7F24">
              <w:rPr>
                <w:rFonts w:ascii="Times New Roman" w:eastAsia="Times New Roman" w:hAnsi="Times New Roman" w:cs="Times New Roman"/>
                <w:b/>
                <w:bCs/>
                <w:sz w:val="18"/>
                <w:szCs w:val="18"/>
                <w:lang w:eastAsia="fr-BE"/>
              </w:rPr>
              <w:t>Forme de sous-routine</w:t>
            </w:r>
          </w:p>
        </w:tc>
      </w:tr>
      <w:tr w:rsidR="006275F9" w:rsidRPr="006C7F24"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192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Frontière</w:t>
            </w:r>
          </w:p>
        </w:tc>
      </w:tr>
      <w:tr w:rsidR="006275F9" w:rsidRPr="006C7F24"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32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Bande de base</w:t>
            </w:r>
          </w:p>
        </w:tc>
      </w:tr>
      <w:tr w:rsidR="006275F9" w:rsidRPr="006C7F24"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160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Bande avec décolleté divisé</w:t>
            </w:r>
          </w:p>
        </w:tc>
      </w:tr>
      <w:tr w:rsidR="006275F9" w:rsidRPr="006C7F24"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48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Bande avec Flash / Référer</w:t>
            </w:r>
          </w:p>
        </w:tc>
      </w:tr>
      <w:tr w:rsidR="006275F9" w:rsidRPr="006C7F24"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176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Bande avec flash / Refer et décolleté divisé</w:t>
            </w:r>
          </w:p>
        </w:tc>
      </w:tr>
      <w:tr w:rsidR="006275F9" w:rsidRPr="006C7F24"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96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Symétrique</w:t>
            </w:r>
          </w:p>
        </w:tc>
      </w:tr>
      <w:tr w:rsidR="006275F9" w:rsidRPr="006C7F24"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224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Symétrique avec décolleté divisé</w:t>
            </w:r>
          </w:p>
        </w:tc>
      </w:tr>
      <w:tr w:rsidR="006275F9" w:rsidRPr="006C7F24" w:rsidTr="006275F9">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64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Asymétrique</w:t>
            </w:r>
          </w:p>
        </w:tc>
      </w:tr>
    </w:tbl>
    <w:p w:rsidR="006275F9" w:rsidRPr="006C7F24" w:rsidRDefault="006275F9" w:rsidP="006275F9">
      <w:pPr>
        <w:spacing w:before="300" w:after="150" w:line="240" w:lineRule="auto"/>
        <w:ind w:left="0" w:firstLine="0"/>
        <w:outlineLvl w:val="2"/>
        <w:rPr>
          <w:rFonts w:ascii="inherit" w:eastAsia="Times New Roman" w:hAnsi="inherit" w:cs="Times New Roman"/>
          <w:sz w:val="18"/>
          <w:szCs w:val="18"/>
          <w:lang w:eastAsia="fr-BE"/>
        </w:rPr>
      </w:pPr>
      <w:r w:rsidRPr="006C7F24">
        <w:rPr>
          <w:rFonts w:ascii="inherit" w:eastAsia="Times New Roman" w:hAnsi="inherit" w:cs="Times New Roman"/>
          <w:sz w:val="18"/>
          <w:szCs w:val="18"/>
          <w:lang w:eastAsia="fr-BE"/>
        </w:rPr>
        <w:t>Frontière</w:t>
      </w:r>
    </w:p>
    <w:p w:rsidR="006275F9" w:rsidRPr="006C7F24" w:rsidRDefault="006275F9" w:rsidP="006275F9">
      <w:pPr>
        <w:spacing w:after="15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Le sous-programme de bordure est le plus souvent le premier sous-programme de mise en forme apparaissant, mais il peut également être omis et peut apparaître plusieurs fois. Une caractéristique particulière de la sous-routine frontière est que le message 'FIN BORDER' apparaît sur la console à la fin du tricotage du sous-programme ou dans le cas de l'ordinateur de formulaire, il clignote 2. Le sous-programme frontière peut comprendre entre 1 à 15 codes d'instruction. Voici un exemple de sous-routine de bordure:</w:t>
      </w:r>
    </w:p>
    <w:tbl>
      <w:tblPr>
        <w:tblW w:w="1315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843"/>
        <w:gridCol w:w="1035"/>
        <w:gridCol w:w="11277"/>
      </w:tblGrid>
      <w:tr w:rsidR="006275F9" w:rsidRPr="006C7F24" w:rsidTr="007A20CE">
        <w:tc>
          <w:tcPr>
            <w:tcW w:w="843"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b/>
                <w:bCs/>
                <w:sz w:val="18"/>
                <w:szCs w:val="18"/>
                <w:lang w:eastAsia="fr-BE"/>
              </w:rPr>
            </w:pPr>
            <w:r w:rsidRPr="006C7F24">
              <w:rPr>
                <w:rFonts w:ascii="Times New Roman" w:eastAsia="Times New Roman" w:hAnsi="Times New Roman" w:cs="Times New Roman"/>
                <w:b/>
                <w:bCs/>
                <w:sz w:val="18"/>
                <w:szCs w:val="18"/>
                <w:lang w:eastAsia="fr-BE"/>
              </w:rPr>
              <w:t>Ligne #</w:t>
            </w:r>
          </w:p>
        </w:tc>
        <w:tc>
          <w:tcPr>
            <w:tcW w:w="103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b/>
                <w:bCs/>
                <w:sz w:val="18"/>
                <w:szCs w:val="18"/>
                <w:lang w:eastAsia="fr-BE"/>
              </w:rPr>
            </w:pPr>
            <w:r w:rsidRPr="006C7F24">
              <w:rPr>
                <w:rFonts w:ascii="Times New Roman" w:eastAsia="Times New Roman" w:hAnsi="Times New Roman" w:cs="Times New Roman"/>
                <w:b/>
                <w:bCs/>
                <w:sz w:val="18"/>
                <w:szCs w:val="18"/>
                <w:lang w:eastAsia="fr-BE"/>
              </w:rPr>
              <w:t>Code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b/>
                <w:bCs/>
                <w:sz w:val="18"/>
                <w:szCs w:val="18"/>
                <w:lang w:eastAsia="fr-BE"/>
              </w:rPr>
            </w:pPr>
            <w:r w:rsidRPr="006C7F24">
              <w:rPr>
                <w:rFonts w:ascii="Times New Roman" w:eastAsia="Times New Roman" w:hAnsi="Times New Roman" w:cs="Times New Roman"/>
                <w:b/>
                <w:bCs/>
                <w:sz w:val="18"/>
                <w:szCs w:val="18"/>
                <w:lang w:eastAsia="fr-BE"/>
              </w:rPr>
              <w:t>Commentaire sur la frontière</w:t>
            </w:r>
          </w:p>
        </w:tc>
      </w:tr>
      <w:tr w:rsidR="006275F9" w:rsidRPr="006C7F24" w:rsidTr="007A20CE">
        <w:tc>
          <w:tcPr>
            <w:tcW w:w="843"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7</w:t>
            </w:r>
          </w:p>
        </w:tc>
        <w:tc>
          <w:tcPr>
            <w:tcW w:w="103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195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7A20CE" w:rsidRPr="006C7F24" w:rsidRDefault="006275F9" w:rsidP="006275F9">
            <w:pPr>
              <w:spacing w:after="300" w:line="240" w:lineRule="auto"/>
              <w:ind w:left="0" w:firstLine="0"/>
              <w:contextualSpacing/>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 xml:space="preserve">La valeur de base 192 + 3 = 195, la sous-routine de frontière contient 3 codes d'instruction </w:t>
            </w:r>
          </w:p>
          <w:p w:rsidR="006275F9" w:rsidRPr="006C7F24" w:rsidRDefault="006275F9" w:rsidP="006275F9">
            <w:pPr>
              <w:spacing w:after="300" w:line="240" w:lineRule="auto"/>
              <w:ind w:left="0" w:firstLine="0"/>
              <w:contextualSpacing/>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de mise en forme, qui suivent immédiatement.</w:t>
            </w:r>
          </w:p>
        </w:tc>
      </w:tr>
      <w:tr w:rsidR="006275F9" w:rsidRPr="006C7F24" w:rsidTr="007A20CE">
        <w:tc>
          <w:tcPr>
            <w:tcW w:w="843"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8</w:t>
            </w:r>
          </w:p>
        </w:tc>
        <w:tc>
          <w:tcPr>
            <w:tcW w:w="103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Longueur de l'utilisateur en millimètres pour 40 rangs de tricot.</w:t>
            </w:r>
          </w:p>
        </w:tc>
      </w:tr>
      <w:tr w:rsidR="006275F9" w:rsidRPr="006C7F24" w:rsidTr="007A20CE">
        <w:tc>
          <w:tcPr>
            <w:tcW w:w="843"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lastRenderedPageBreak/>
              <w:t>9</w:t>
            </w:r>
          </w:p>
        </w:tc>
        <w:tc>
          <w:tcPr>
            <w:tcW w:w="103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7A20CE" w:rsidRPr="006C7F24" w:rsidRDefault="006275F9" w:rsidP="006275F9">
            <w:pPr>
              <w:spacing w:after="300" w:line="240" w:lineRule="auto"/>
              <w:ind w:left="0" w:firstLine="0"/>
              <w:contextualSpacing/>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Instructions de mise en forme pour 'Knit</w:t>
            </w:r>
            <w:bookmarkStart w:id="0" w:name="_GoBack"/>
            <w:bookmarkEnd w:id="0"/>
            <w:r w:rsidRPr="006C7F24">
              <w:rPr>
                <w:rFonts w:ascii="Times New Roman" w:eastAsia="Times New Roman" w:hAnsi="Times New Roman" w:cs="Times New Roman"/>
                <w:sz w:val="18"/>
                <w:szCs w:val="18"/>
                <w:lang w:eastAsia="fr-BE"/>
              </w:rPr>
              <w:t xml:space="preserve"> Straight.' Voir </w:t>
            </w:r>
            <w:hyperlink r:id="rId4" w:history="1">
              <w:r w:rsidRPr="006C7F24">
                <w:rPr>
                  <w:rFonts w:ascii="Times New Roman" w:eastAsia="Times New Roman" w:hAnsi="Times New Roman" w:cs="Times New Roman"/>
                  <w:color w:val="337AB7"/>
                  <w:sz w:val="18"/>
                  <w:szCs w:val="18"/>
                  <w:u w:val="single"/>
                  <w:lang w:eastAsia="fr-BE"/>
                </w:rPr>
                <w:t>Instructions</w:t>
              </w:r>
            </w:hyperlink>
            <w:r w:rsidRPr="006C7F24">
              <w:rPr>
                <w:rFonts w:ascii="Times New Roman" w:eastAsia="Times New Roman" w:hAnsi="Times New Roman" w:cs="Times New Roman"/>
                <w:sz w:val="18"/>
                <w:szCs w:val="18"/>
                <w:lang w:eastAsia="fr-BE"/>
              </w:rPr>
              <w:t> de mise en forme</w:t>
            </w:r>
          </w:p>
          <w:p w:rsidR="006275F9" w:rsidRPr="006C7F24" w:rsidRDefault="006275F9" w:rsidP="006275F9">
            <w:pPr>
              <w:spacing w:after="300" w:line="240" w:lineRule="auto"/>
              <w:ind w:left="0" w:firstLine="0"/>
              <w:contextualSpacing/>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 xml:space="preserve"> pour plus d'informations sur les instructions de mise en forme.</w:t>
            </w:r>
          </w:p>
        </w:tc>
      </w:tr>
      <w:tr w:rsidR="006275F9" w:rsidRPr="006C7F24" w:rsidTr="007A20CE">
        <w:tc>
          <w:tcPr>
            <w:tcW w:w="843"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dix</w:t>
            </w:r>
          </w:p>
        </w:tc>
        <w:tc>
          <w:tcPr>
            <w:tcW w:w="103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6275F9" w:rsidRPr="006C7F24" w:rsidRDefault="006275F9" w:rsidP="006275F9">
            <w:pPr>
              <w:spacing w:after="30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7A20CE" w:rsidRPr="006C7F24" w:rsidRDefault="006275F9" w:rsidP="006275F9">
            <w:pPr>
              <w:spacing w:after="300" w:line="240" w:lineRule="auto"/>
              <w:ind w:left="0" w:firstLine="0"/>
              <w:contextualSpacing/>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Paramètre pour la mise en forme de l'instruction sur la ligne précédente.</w:t>
            </w:r>
          </w:p>
          <w:p w:rsidR="007A20CE" w:rsidRPr="006C7F24" w:rsidRDefault="006275F9" w:rsidP="006275F9">
            <w:pPr>
              <w:spacing w:after="300" w:line="240" w:lineRule="auto"/>
              <w:ind w:left="0" w:firstLine="0"/>
              <w:contextualSpacing/>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 Voir </w:t>
            </w:r>
            <w:hyperlink r:id="rId5" w:history="1">
              <w:r w:rsidRPr="006C7F24">
                <w:rPr>
                  <w:rFonts w:ascii="Times New Roman" w:eastAsia="Times New Roman" w:hAnsi="Times New Roman" w:cs="Times New Roman"/>
                  <w:color w:val="337AB7"/>
                  <w:sz w:val="18"/>
                  <w:szCs w:val="18"/>
                  <w:u w:val="single"/>
                  <w:lang w:eastAsia="fr-BE"/>
                </w:rPr>
                <w:t>Instructions</w:t>
              </w:r>
            </w:hyperlink>
            <w:r w:rsidRPr="006C7F24">
              <w:rPr>
                <w:rFonts w:ascii="Times New Roman" w:eastAsia="Times New Roman" w:hAnsi="Times New Roman" w:cs="Times New Roman"/>
                <w:sz w:val="18"/>
                <w:szCs w:val="18"/>
                <w:lang w:eastAsia="fr-BE"/>
              </w:rPr>
              <w:t xml:space="preserve"> de mise en forme pour plus d'informations sur les instructions </w:t>
            </w:r>
          </w:p>
          <w:p w:rsidR="006275F9" w:rsidRPr="006C7F24" w:rsidRDefault="006275F9" w:rsidP="006275F9">
            <w:pPr>
              <w:spacing w:after="300" w:line="240" w:lineRule="auto"/>
              <w:ind w:left="0" w:firstLine="0"/>
              <w:contextualSpacing/>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de mise en forme.</w:t>
            </w:r>
          </w:p>
        </w:tc>
      </w:tr>
    </w:tbl>
    <w:p w:rsidR="006275F9" w:rsidRPr="006C7F24" w:rsidRDefault="006275F9" w:rsidP="006275F9">
      <w:pPr>
        <w:spacing w:before="300" w:after="150" w:line="240" w:lineRule="auto"/>
        <w:ind w:left="0" w:firstLine="0"/>
        <w:outlineLvl w:val="2"/>
        <w:rPr>
          <w:rFonts w:ascii="inherit" w:eastAsia="Times New Roman" w:hAnsi="inherit" w:cs="Times New Roman"/>
          <w:sz w:val="18"/>
          <w:szCs w:val="18"/>
          <w:lang w:eastAsia="fr-BE"/>
        </w:rPr>
      </w:pPr>
      <w:r w:rsidRPr="006C7F24">
        <w:rPr>
          <w:rFonts w:ascii="inherit" w:eastAsia="Times New Roman" w:hAnsi="inherit" w:cs="Times New Roman"/>
          <w:sz w:val="18"/>
          <w:szCs w:val="18"/>
          <w:lang w:eastAsia="fr-BE"/>
        </w:rPr>
        <w:t>B: et</w:t>
      </w:r>
    </w:p>
    <w:p w:rsidR="006275F9" w:rsidRPr="006C7F24" w:rsidRDefault="006275F9" w:rsidP="006275F9">
      <w:pPr>
        <w:spacing w:after="15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Le sous-programme de bande est souvent le sous-programme suivant vu après le sous-programme de bordure. Il permet à l'utilisateur de tricoter un morceau de tricotage croissant et décroissant de manière graduelle et symétrique. L'utilisateur peut spécifier la largeur et la longueur de fin. Le sous-programme de bande est ainsi nommé parce que le manuel de PASSAP en fournit un exemple pour tricoter des colliers et des bandes de veste, mais ce sous-programme polyvalent permet de tricoter des rectangles et des trapèzes de diverses tailles et se trouve souvent dans les fronces, les dos et les manches. Bien que rarement vu, il est possible de répéter le sous-programme de bande plus d'une fois. Il peut également être omis, bien que cela soit rare. Les variations du sous-programme de bande comprennent des options pour un décolleté et / ou un message flash / référence.</w:t>
      </w:r>
    </w:p>
    <w:p w:rsidR="006275F9" w:rsidRPr="006C7F24" w:rsidRDefault="006275F9" w:rsidP="006275F9">
      <w:pPr>
        <w:spacing w:after="15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Si le sous-programme de bande ne contient pas de message flash / référence, le nombre d'instructions dans le sous-programme de bande est fixé à 6. Ainsi, en pratique, vous verrez 38 (bande de base) ou 166 (bande avec décolleté).</w:t>
      </w:r>
    </w:p>
    <w:p w:rsidR="006275F9" w:rsidRPr="006C7F24" w:rsidRDefault="006275F9" w:rsidP="006275F9">
      <w:pPr>
        <w:spacing w:after="150" w:line="240" w:lineRule="auto"/>
        <w:ind w:left="0" w:firstLine="0"/>
        <w:rPr>
          <w:rFonts w:ascii="Times New Roman" w:eastAsia="Times New Roman" w:hAnsi="Times New Roman" w:cs="Times New Roman"/>
          <w:sz w:val="18"/>
          <w:szCs w:val="18"/>
          <w:lang w:eastAsia="fr-BE"/>
        </w:rPr>
      </w:pPr>
      <w:r w:rsidRPr="006C7F24">
        <w:rPr>
          <w:rFonts w:ascii="Times New Roman" w:eastAsia="Times New Roman" w:hAnsi="Times New Roman" w:cs="Times New Roman"/>
          <w:sz w:val="18"/>
          <w:szCs w:val="18"/>
          <w:lang w:eastAsia="fr-BE"/>
        </w:rPr>
        <w:t>Si le sous-programme de bande contient un message flash / référence, le nombre d'instructions dans le sous-programme de bande est fixé à 7. Ainsi, en pratique, vous verrez 55 (bande avec flash / référence) ou 183 (bande avec décolleté et flash / réf. Le message flash / référence peut apparaître au début de la bande ou à la fin, décalé d'un nombre variable de lignes. Par exemple, vous pouvez spécifier que le message apparaît 16 lignes après le début de la bande ou 20 lignes avant la fin de la bande. Un seul code est fourni pour spécifier à la fois le numéro flash / référence et le positionnement de la messagerie dans le compte de lignes.</w:t>
      </w:r>
    </w:p>
    <w:p w:rsidR="006275F9" w:rsidRPr="006C7F24" w:rsidRDefault="006C7F24" w:rsidP="006275F9">
      <w:pPr>
        <w:shd w:val="clear" w:color="auto" w:fill="FFFFFF"/>
        <w:spacing w:line="240" w:lineRule="auto"/>
        <w:ind w:left="0" w:firstLine="0"/>
        <w:rPr>
          <w:rFonts w:ascii="Helvetica" w:eastAsia="Times New Roman" w:hAnsi="Helvetica" w:cs="Helvetica"/>
          <w:color w:val="333333"/>
          <w:sz w:val="18"/>
          <w:szCs w:val="18"/>
          <w:lang w:eastAsia="fr-BE"/>
        </w:rPr>
      </w:pPr>
      <w:hyperlink r:id="rId6" w:anchor="collapse1" w:history="1">
        <w:r w:rsidR="006275F9" w:rsidRPr="006C7F24">
          <w:rPr>
            <w:rFonts w:ascii="Helvetica" w:eastAsia="Times New Roman" w:hAnsi="Helvetica" w:cs="Helvetica"/>
            <w:color w:val="FFFFFF"/>
            <w:sz w:val="18"/>
            <w:szCs w:val="18"/>
            <w:u w:val="single"/>
            <w:bdr w:val="single" w:sz="6" w:space="4" w:color="28A4C9" w:frame="1"/>
            <w:shd w:val="clear" w:color="auto" w:fill="5BC0DE"/>
            <w:lang w:eastAsia="fr-BE"/>
          </w:rPr>
          <w:t>Bande de base bande</w:t>
        </w:r>
      </w:hyperlink>
      <w:r w:rsidR="006275F9" w:rsidRPr="006C7F24">
        <w:rPr>
          <w:rFonts w:ascii="Helvetica" w:eastAsia="Times New Roman" w:hAnsi="Helvetica" w:cs="Helvetica"/>
          <w:color w:val="333333"/>
          <w:sz w:val="18"/>
          <w:szCs w:val="18"/>
          <w:lang w:eastAsia="fr-BE"/>
        </w:rPr>
        <w:t> </w:t>
      </w:r>
      <w:hyperlink r:id="rId7" w:anchor="collapse2" w:history="1">
        <w:r w:rsidR="006275F9" w:rsidRPr="006C7F24">
          <w:rPr>
            <w:rFonts w:ascii="Helvetica" w:eastAsia="Times New Roman" w:hAnsi="Helvetica" w:cs="Helvetica"/>
            <w:color w:val="FFFFFF"/>
            <w:sz w:val="18"/>
            <w:szCs w:val="18"/>
            <w:u w:val="single"/>
            <w:bdr w:val="single" w:sz="6" w:space="4" w:color="28A4C9" w:frame="1"/>
            <w:shd w:val="clear" w:color="auto" w:fill="5BC0DE"/>
            <w:lang w:eastAsia="fr-BE"/>
          </w:rPr>
          <w:t>+ bande de décolleté</w:t>
        </w:r>
      </w:hyperlink>
      <w:r w:rsidR="006275F9" w:rsidRPr="006C7F24">
        <w:rPr>
          <w:rFonts w:ascii="Helvetica" w:eastAsia="Times New Roman" w:hAnsi="Helvetica" w:cs="Helvetica"/>
          <w:color w:val="333333"/>
          <w:sz w:val="18"/>
          <w:szCs w:val="18"/>
          <w:lang w:eastAsia="fr-BE"/>
        </w:rPr>
        <w:t> </w:t>
      </w:r>
      <w:hyperlink r:id="rId8" w:anchor="collapse3" w:history="1">
        <w:r w:rsidR="006275F9" w:rsidRPr="006C7F24">
          <w:rPr>
            <w:rFonts w:ascii="Helvetica" w:eastAsia="Times New Roman" w:hAnsi="Helvetica" w:cs="Helvetica"/>
            <w:color w:val="FFFFFF"/>
            <w:sz w:val="18"/>
            <w:szCs w:val="18"/>
            <w:u w:val="single"/>
            <w:bdr w:val="single" w:sz="6" w:space="4" w:color="28A4C9" w:frame="1"/>
            <w:shd w:val="clear" w:color="auto" w:fill="5BC0DE"/>
            <w:lang w:eastAsia="fr-BE"/>
          </w:rPr>
          <w:t>+ flash /</w:t>
        </w:r>
      </w:hyperlink>
      <w:r w:rsidR="006275F9" w:rsidRPr="006C7F24">
        <w:rPr>
          <w:rFonts w:ascii="Helvetica" w:eastAsia="Times New Roman" w:hAnsi="Helvetica" w:cs="Helvetica"/>
          <w:color w:val="333333"/>
          <w:sz w:val="18"/>
          <w:szCs w:val="18"/>
          <w:lang w:eastAsia="fr-BE"/>
        </w:rPr>
        <w:t> </w:t>
      </w:r>
      <w:hyperlink r:id="rId9" w:anchor="collapse4" w:history="1">
        <w:r w:rsidR="006275F9" w:rsidRPr="006C7F24">
          <w:rPr>
            <w:rFonts w:ascii="Helvetica" w:eastAsia="Times New Roman" w:hAnsi="Helvetica" w:cs="Helvetica"/>
            <w:color w:val="FFFFFF"/>
            <w:sz w:val="18"/>
            <w:szCs w:val="18"/>
            <w:u w:val="single"/>
            <w:bdr w:val="single" w:sz="6" w:space="4" w:color="28A4C9" w:frame="1"/>
            <w:shd w:val="clear" w:color="auto" w:fill="5BC0DE"/>
            <w:lang w:eastAsia="fr-BE"/>
          </w:rPr>
          <w:t xml:space="preserve">bande </w:t>
        </w:r>
        <w:proofErr w:type="spellStart"/>
        <w:r w:rsidR="006275F9" w:rsidRPr="006C7F24">
          <w:rPr>
            <w:rFonts w:ascii="Helvetica" w:eastAsia="Times New Roman" w:hAnsi="Helvetica" w:cs="Helvetica"/>
            <w:color w:val="FFFFFF"/>
            <w:sz w:val="18"/>
            <w:szCs w:val="18"/>
            <w:u w:val="single"/>
            <w:bdr w:val="single" w:sz="6" w:space="4" w:color="28A4C9" w:frame="1"/>
            <w:shd w:val="clear" w:color="auto" w:fill="5BC0DE"/>
            <w:lang w:eastAsia="fr-BE"/>
          </w:rPr>
          <w:t>de</w:t>
        </w:r>
      </w:hyperlink>
      <w:hyperlink r:id="rId10" w:anchor="collapse3" w:history="1">
        <w:r w:rsidR="006275F9" w:rsidRPr="006C7F24">
          <w:rPr>
            <w:rFonts w:ascii="Helvetica" w:eastAsia="Times New Roman" w:hAnsi="Helvetica" w:cs="Helvetica"/>
            <w:color w:val="FFFFFF"/>
            <w:sz w:val="18"/>
            <w:szCs w:val="18"/>
            <w:u w:val="single"/>
            <w:bdr w:val="single" w:sz="6" w:space="4" w:color="28A4C9" w:frame="1"/>
            <w:shd w:val="clear" w:color="auto" w:fill="5BC0DE"/>
            <w:lang w:eastAsia="fr-BE"/>
          </w:rPr>
          <w:t>référence</w:t>
        </w:r>
        <w:proofErr w:type="spellEnd"/>
      </w:hyperlink>
      <w:hyperlink r:id="rId11" w:anchor="collapse4" w:history="1">
        <w:r w:rsidR="006275F9" w:rsidRPr="006C7F24">
          <w:rPr>
            <w:rFonts w:ascii="Helvetica" w:eastAsia="Times New Roman" w:hAnsi="Helvetica" w:cs="Helvetica"/>
            <w:color w:val="FFFFFF"/>
            <w:sz w:val="18"/>
            <w:szCs w:val="18"/>
            <w:u w:val="single"/>
            <w:bdr w:val="single" w:sz="6" w:space="4" w:color="28A4C9" w:frame="1"/>
            <w:shd w:val="clear" w:color="auto" w:fill="5BC0DE"/>
            <w:lang w:eastAsia="fr-BE"/>
          </w:rPr>
          <w:t>+ flash / se référer + encolure</w:t>
        </w:r>
      </w:hyperlink>
    </w:p>
    <w:p w:rsidR="00EC30B6" w:rsidRPr="006C7F24" w:rsidRDefault="00EC30B6" w:rsidP="006275F9">
      <w:pPr>
        <w:ind w:left="0" w:firstLine="0"/>
        <w:rPr>
          <w:sz w:val="18"/>
          <w:szCs w:val="18"/>
        </w:rPr>
      </w:pPr>
    </w:p>
    <w:sectPr w:rsidR="00EC30B6" w:rsidRPr="006C7F24" w:rsidSect="007A20CE">
      <w:pgSz w:w="11906" w:h="16838"/>
      <w:pgMar w:top="993" w:right="141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5F9"/>
    <w:rsid w:val="006275F9"/>
    <w:rsid w:val="006C7F24"/>
    <w:rsid w:val="007A20CE"/>
    <w:rsid w:val="00B36A81"/>
    <w:rsid w:val="00EC3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B9980-0351-4385-944B-605B55B5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0" w:lineRule="atLeast"/>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116837">
      <w:bodyDiv w:val="1"/>
      <w:marLeft w:val="0"/>
      <w:marRight w:val="0"/>
      <w:marTop w:val="0"/>
      <w:marBottom w:val="0"/>
      <w:divBdr>
        <w:top w:val="none" w:sz="0" w:space="0" w:color="auto"/>
        <w:left w:val="none" w:sz="0" w:space="0" w:color="auto"/>
        <w:bottom w:val="none" w:sz="0" w:space="0" w:color="auto"/>
        <w:right w:val="none" w:sz="0" w:space="0" w:color="auto"/>
      </w:divBdr>
      <w:divsChild>
        <w:div w:id="1172142974">
          <w:marLeft w:val="0"/>
          <w:marRight w:val="0"/>
          <w:marTop w:val="600"/>
          <w:marBottom w:val="300"/>
          <w:divBdr>
            <w:top w:val="none" w:sz="0" w:space="0" w:color="auto"/>
            <w:left w:val="none" w:sz="0" w:space="0" w:color="auto"/>
            <w:bottom w:val="single" w:sz="6" w:space="7" w:color="EEEEEE"/>
            <w:right w:val="none" w:sz="0" w:space="0" w:color="auto"/>
          </w:divBdr>
        </w:div>
        <w:div w:id="84772046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kibird.com/formprogrammes2.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bikibird.com/formprogrammes2.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kibird.com/formprogrammes2.html" TargetMode="External"/><Relationship Id="rId11" Type="http://schemas.openxmlformats.org/officeDocument/2006/relationships/hyperlink" Target="http://bikibird.com/formprogrammes2.html" TargetMode="External"/><Relationship Id="rId5" Type="http://schemas.openxmlformats.org/officeDocument/2006/relationships/hyperlink" Target="http://bikibird.com/neo/formprogrammes4.html" TargetMode="External"/><Relationship Id="rId10" Type="http://schemas.openxmlformats.org/officeDocument/2006/relationships/hyperlink" Target="http://bikibird.com/formprogrammes2.html" TargetMode="External"/><Relationship Id="rId4" Type="http://schemas.openxmlformats.org/officeDocument/2006/relationships/hyperlink" Target="http://bikibird.com/neo/formprogrammes4.html" TargetMode="External"/><Relationship Id="rId9" Type="http://schemas.openxmlformats.org/officeDocument/2006/relationships/hyperlink" Target="http://bikibird.com/formprogrammes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760</Words>
  <Characters>4180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2018-01-28T23:53:00Z</dcterms:created>
  <dcterms:modified xsi:type="dcterms:W3CDTF">2018-02-05T18:09:00Z</dcterms:modified>
</cp:coreProperties>
</file>